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2AC4" w14:textId="26084DCD" w:rsidR="00DF4376" w:rsidRPr="00DF4376" w:rsidRDefault="00DF4376">
      <w:pPr>
        <w:rPr>
          <w:b/>
          <w:sz w:val="28"/>
          <w:szCs w:val="28"/>
          <w:lang w:val="ru-RU"/>
        </w:rPr>
      </w:pPr>
      <w:r w:rsidRPr="00DF4376">
        <w:rPr>
          <w:b/>
          <w:sz w:val="28"/>
          <w:szCs w:val="28"/>
          <w:lang w:val="ru-RU"/>
        </w:rPr>
        <w:t>РАСШИФРОВКА ДЕБИТОРОВ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268"/>
        <w:gridCol w:w="2552"/>
        <w:gridCol w:w="3543"/>
      </w:tblGrid>
      <w:tr w:rsidR="00237DC9" w:rsidRPr="00A549EF" w14:paraId="23E3002F" w14:textId="72341B25" w:rsidTr="00237DC9">
        <w:trPr>
          <w:trHeight w:val="676"/>
        </w:trPr>
        <w:tc>
          <w:tcPr>
            <w:tcW w:w="988" w:type="dxa"/>
            <w:vMerge w:val="restart"/>
            <w:shd w:val="clear" w:color="auto" w:fill="B4C6E7" w:themeFill="accent1" w:themeFillTint="66"/>
          </w:tcPr>
          <w:p w14:paraId="0E5E020D" w14:textId="413D01D1" w:rsidR="003250A0" w:rsidRPr="00F366D1" w:rsidRDefault="00D128A5" w:rsidP="00F366D1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B4C6E7" w:themeFill="accent1" w:themeFillTint="66"/>
          </w:tcPr>
          <w:p w14:paraId="478175DA" w14:textId="7A8C1280" w:rsidR="003250A0" w:rsidRPr="008B0A54" w:rsidRDefault="003250A0" w:rsidP="008B0A54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Наименование организации-контрагента и ИНН</w:t>
            </w:r>
          </w:p>
        </w:tc>
        <w:tc>
          <w:tcPr>
            <w:tcW w:w="2410" w:type="dxa"/>
            <w:vMerge w:val="restart"/>
            <w:shd w:val="clear" w:color="auto" w:fill="B4C6E7" w:themeFill="accent1" w:themeFillTint="66"/>
          </w:tcPr>
          <w:p w14:paraId="4C9310D3" w14:textId="23AC61BB" w:rsidR="003250A0" w:rsidRPr="008B0A54" w:rsidRDefault="003250A0" w:rsidP="008B0A54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Наименование товара (услуги)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60B7F32" w14:textId="4BA3B3C3" w:rsidR="003250A0" w:rsidRPr="008B0A54" w:rsidRDefault="003250A0" w:rsidP="008B0A54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Сумма задолженности</w:t>
            </w:r>
          </w:p>
        </w:tc>
        <w:tc>
          <w:tcPr>
            <w:tcW w:w="2552" w:type="dxa"/>
            <w:vMerge w:val="restart"/>
            <w:shd w:val="clear" w:color="auto" w:fill="B4C6E7" w:themeFill="accent1" w:themeFillTint="66"/>
          </w:tcPr>
          <w:p w14:paraId="721B7EF9" w14:textId="1E9CCF90" w:rsidR="003250A0" w:rsidRPr="008B0A54" w:rsidRDefault="003250A0" w:rsidP="008B0A54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Дата возникновения задолженности</w:t>
            </w:r>
            <w:r w:rsidR="00C647F5" w:rsidRPr="008B0A54">
              <w:rPr>
                <w:b/>
                <w:lang w:val="ru-RU"/>
              </w:rPr>
              <w:t xml:space="preserve"> </w:t>
            </w:r>
            <w:r w:rsidR="00F27DA7" w:rsidRPr="008B0A54">
              <w:rPr>
                <w:b/>
                <w:lang w:val="ru-RU"/>
              </w:rPr>
              <w:t>(Дата первого первичного документа)</w:t>
            </w:r>
          </w:p>
        </w:tc>
        <w:tc>
          <w:tcPr>
            <w:tcW w:w="3543" w:type="dxa"/>
            <w:vMerge w:val="restart"/>
            <w:shd w:val="clear" w:color="auto" w:fill="B4C6E7" w:themeFill="accent1" w:themeFillTint="66"/>
          </w:tcPr>
          <w:p w14:paraId="540240DE" w14:textId="5024562E" w:rsidR="003250A0" w:rsidRPr="008B0A54" w:rsidRDefault="003250A0" w:rsidP="008B0A54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Дата погашения задолженности (по договору)</w:t>
            </w:r>
          </w:p>
        </w:tc>
      </w:tr>
      <w:tr w:rsidR="00C647F5" w14:paraId="49C54B7E" w14:textId="757F6A2C" w:rsidTr="00237DC9">
        <w:tc>
          <w:tcPr>
            <w:tcW w:w="988" w:type="dxa"/>
            <w:vMerge/>
            <w:shd w:val="clear" w:color="auto" w:fill="B4C6E7" w:themeFill="accent1" w:themeFillTint="66"/>
          </w:tcPr>
          <w:p w14:paraId="568AC9F0" w14:textId="272E0BB1" w:rsidR="00C647F5" w:rsidRPr="00F366D1" w:rsidRDefault="00C647F5" w:rsidP="00F366D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09" w:type="dxa"/>
            <w:vMerge/>
          </w:tcPr>
          <w:p w14:paraId="2571E53D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14:paraId="1D7421F7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59E47AE6" w14:textId="235A6055" w:rsidR="00C647F5" w:rsidRPr="008B0A54" w:rsidRDefault="00C647F5" w:rsidP="00C647F5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всего</w:t>
            </w:r>
          </w:p>
        </w:tc>
        <w:tc>
          <w:tcPr>
            <w:tcW w:w="2552" w:type="dxa"/>
            <w:vMerge/>
          </w:tcPr>
          <w:p w14:paraId="2D4BA352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14:paraId="34191EE9" w14:textId="77777777" w:rsidR="00C647F5" w:rsidRDefault="00C647F5">
            <w:pPr>
              <w:rPr>
                <w:lang w:val="ru-RU"/>
              </w:rPr>
            </w:pPr>
          </w:p>
        </w:tc>
      </w:tr>
      <w:tr w:rsidR="00C647F5" w14:paraId="2D39D939" w14:textId="42C38D1D" w:rsidTr="00237DC9">
        <w:tc>
          <w:tcPr>
            <w:tcW w:w="988" w:type="dxa"/>
            <w:shd w:val="clear" w:color="auto" w:fill="B4C6E7" w:themeFill="accent1" w:themeFillTint="66"/>
          </w:tcPr>
          <w:p w14:paraId="30EDFE49" w14:textId="7C980BDE" w:rsidR="00C647F5" w:rsidRPr="00F366D1" w:rsidRDefault="00C647F5" w:rsidP="00F366D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366D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</w:tcPr>
          <w:p w14:paraId="3541045F" w14:textId="50BBEF4A" w:rsidR="00C647F5" w:rsidRPr="008B0A54" w:rsidRDefault="00C647F5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ООО «РОМАШКА»</w:t>
            </w:r>
            <w:r w:rsidRPr="008B0A54">
              <w:rPr>
                <w:sz w:val="20"/>
                <w:szCs w:val="20"/>
                <w:lang w:val="ru-RU"/>
              </w:rPr>
              <w:t xml:space="preserve"> 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>ИНН: 777777777</w:t>
            </w:r>
          </w:p>
        </w:tc>
        <w:tc>
          <w:tcPr>
            <w:tcW w:w="2410" w:type="dxa"/>
          </w:tcPr>
          <w:p w14:paraId="27C1BAE0" w14:textId="061D5BDA" w:rsidR="00C647F5" w:rsidRPr="008B0A54" w:rsidRDefault="00C647F5">
            <w:pPr>
              <w:rPr>
                <w:sz w:val="20"/>
                <w:szCs w:val="20"/>
                <w:highlight w:val="yellow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- Товары;</w:t>
            </w:r>
          </w:p>
          <w:p w14:paraId="1D23B0B4" w14:textId="1DB6BA7F" w:rsidR="00C647F5" w:rsidRPr="008B0A54" w:rsidRDefault="00C647F5">
            <w:pPr>
              <w:rPr>
                <w:sz w:val="20"/>
                <w:szCs w:val="20"/>
                <w:highlight w:val="yellow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- Услуги;</w:t>
            </w:r>
          </w:p>
          <w:p w14:paraId="1688FD5F" w14:textId="77777777" w:rsidR="00C647F5" w:rsidRPr="008B0A54" w:rsidRDefault="00C647F5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- Работы;</w:t>
            </w:r>
          </w:p>
          <w:p w14:paraId="1A517FCA" w14:textId="3A8ED0D6" w:rsidR="00C647F5" w:rsidRPr="008B0A54" w:rsidRDefault="00C647F5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(выбрать </w:t>
            </w:r>
            <w:r w:rsidR="008B0A54">
              <w:rPr>
                <w:sz w:val="20"/>
                <w:szCs w:val="20"/>
                <w:highlight w:val="yellow"/>
                <w:lang w:val="ru-RU"/>
              </w:rPr>
              <w:t>категорию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>)</w:t>
            </w:r>
          </w:p>
        </w:tc>
        <w:tc>
          <w:tcPr>
            <w:tcW w:w="2268" w:type="dxa"/>
          </w:tcPr>
          <w:p w14:paraId="715C4CF4" w14:textId="26CA888E" w:rsidR="00C647F5" w:rsidRPr="008B0A54" w:rsidRDefault="008B0A54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b/>
                <w:sz w:val="20"/>
                <w:szCs w:val="20"/>
                <w:highlight w:val="yellow"/>
                <w:lang w:val="ru-RU"/>
              </w:rPr>
              <w:t>ПРИМЕР:</w:t>
            </w:r>
            <w:r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  <w:r w:rsidR="00C647F5" w:rsidRPr="008B0A54">
              <w:rPr>
                <w:sz w:val="20"/>
                <w:szCs w:val="20"/>
                <w:highlight w:val="yellow"/>
                <w:lang w:val="ru-RU"/>
              </w:rPr>
              <w:t>1 000 тыс. рублей</w:t>
            </w:r>
          </w:p>
        </w:tc>
        <w:tc>
          <w:tcPr>
            <w:tcW w:w="2552" w:type="dxa"/>
          </w:tcPr>
          <w:p w14:paraId="3E613CF5" w14:textId="77777777" w:rsidR="00C647F5" w:rsidRPr="008B0A54" w:rsidRDefault="00C647F5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(см. условия оплаты своего договора)</w:t>
            </w:r>
          </w:p>
          <w:p w14:paraId="7D0112C4" w14:textId="5C1492B8" w:rsidR="00C647F5" w:rsidRPr="008B0A54" w:rsidRDefault="00C647F5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b/>
                <w:sz w:val="20"/>
                <w:szCs w:val="20"/>
                <w:highlight w:val="yellow"/>
                <w:lang w:val="ru-RU"/>
              </w:rPr>
              <w:t>ПРИМЕР: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  <w:r w:rsidR="00EA04B8" w:rsidRPr="008B0A54">
              <w:rPr>
                <w:sz w:val="20"/>
                <w:szCs w:val="20"/>
                <w:highlight w:val="yellow"/>
                <w:lang w:val="ru-RU"/>
              </w:rPr>
              <w:t xml:space="preserve">подписан АКТ или ТОРГ-12 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>10.11.2018 г.</w:t>
            </w:r>
          </w:p>
        </w:tc>
        <w:tc>
          <w:tcPr>
            <w:tcW w:w="3543" w:type="dxa"/>
          </w:tcPr>
          <w:p w14:paraId="3F2652EC" w14:textId="77777777" w:rsidR="00EA04B8" w:rsidRPr="008B0A54" w:rsidRDefault="00D128A5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С момента подписания первичного документа + кол-во дней указанных в договоре</w:t>
            </w:r>
          </w:p>
          <w:p w14:paraId="63095B6A" w14:textId="73AD5802" w:rsidR="00C647F5" w:rsidRPr="008B0A54" w:rsidRDefault="00EA04B8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b/>
                <w:sz w:val="20"/>
                <w:szCs w:val="20"/>
                <w:highlight w:val="yellow"/>
                <w:lang w:val="ru-RU"/>
              </w:rPr>
              <w:t>ПРИМЕР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: по договору указана оплата не позднее 10 дней с момента подписания </w:t>
            </w:r>
            <w:proofErr w:type="spellStart"/>
            <w:r w:rsidRPr="008B0A54">
              <w:rPr>
                <w:sz w:val="20"/>
                <w:szCs w:val="20"/>
                <w:highlight w:val="yellow"/>
                <w:lang w:val="ru-RU"/>
              </w:rPr>
              <w:t>АКТа</w:t>
            </w:r>
            <w:proofErr w:type="spellEnd"/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 или ТОРГ-12. Дата: 21.11.2018</w:t>
            </w:r>
          </w:p>
        </w:tc>
      </w:tr>
      <w:tr w:rsidR="00C647F5" w14:paraId="709243B3" w14:textId="7904CF17" w:rsidTr="00237DC9">
        <w:tc>
          <w:tcPr>
            <w:tcW w:w="988" w:type="dxa"/>
            <w:shd w:val="clear" w:color="auto" w:fill="B4C6E7" w:themeFill="accent1" w:themeFillTint="66"/>
          </w:tcPr>
          <w:p w14:paraId="1F4F2877" w14:textId="700C4220" w:rsidR="00C647F5" w:rsidRPr="00F366D1" w:rsidRDefault="00C647F5" w:rsidP="00F366D1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2</w:t>
            </w:r>
          </w:p>
        </w:tc>
        <w:tc>
          <w:tcPr>
            <w:tcW w:w="2409" w:type="dxa"/>
          </w:tcPr>
          <w:p w14:paraId="07C4C492" w14:textId="77777777" w:rsidR="00C647F5" w:rsidRDefault="00C647F5">
            <w:pPr>
              <w:rPr>
                <w:lang w:val="ru-RU"/>
              </w:rPr>
            </w:pPr>
          </w:p>
          <w:p w14:paraId="3AD01F05" w14:textId="4472EB96" w:rsidR="00F366D1" w:rsidRDefault="00F366D1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5D42C8B9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4069CDDD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360B74F2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4889A08A" w14:textId="77777777" w:rsidR="00C647F5" w:rsidRDefault="00C647F5">
            <w:pPr>
              <w:rPr>
                <w:lang w:val="ru-RU"/>
              </w:rPr>
            </w:pPr>
          </w:p>
        </w:tc>
      </w:tr>
      <w:tr w:rsidR="00C647F5" w14:paraId="2151B13E" w14:textId="62E09949" w:rsidTr="00237DC9">
        <w:tc>
          <w:tcPr>
            <w:tcW w:w="988" w:type="dxa"/>
            <w:shd w:val="clear" w:color="auto" w:fill="B4C6E7" w:themeFill="accent1" w:themeFillTint="66"/>
          </w:tcPr>
          <w:p w14:paraId="363C176C" w14:textId="2151B6D8" w:rsidR="00C647F5" w:rsidRPr="00F366D1" w:rsidRDefault="00C647F5" w:rsidP="00F366D1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3</w:t>
            </w:r>
          </w:p>
        </w:tc>
        <w:tc>
          <w:tcPr>
            <w:tcW w:w="2409" w:type="dxa"/>
          </w:tcPr>
          <w:p w14:paraId="30593E77" w14:textId="77777777" w:rsidR="00C647F5" w:rsidRDefault="00C647F5">
            <w:pPr>
              <w:rPr>
                <w:lang w:val="ru-RU"/>
              </w:rPr>
            </w:pPr>
          </w:p>
          <w:p w14:paraId="3A5B6B91" w14:textId="22B5B7CF" w:rsidR="00F366D1" w:rsidRDefault="00F366D1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603A71A4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099D5C40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74E8C81B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5D65667A" w14:textId="77777777" w:rsidR="00C647F5" w:rsidRDefault="00C647F5">
            <w:pPr>
              <w:rPr>
                <w:lang w:val="ru-RU"/>
              </w:rPr>
            </w:pPr>
          </w:p>
        </w:tc>
      </w:tr>
      <w:tr w:rsidR="00C647F5" w14:paraId="659660CE" w14:textId="161931D0" w:rsidTr="00237DC9">
        <w:tc>
          <w:tcPr>
            <w:tcW w:w="988" w:type="dxa"/>
            <w:shd w:val="clear" w:color="auto" w:fill="B4C6E7" w:themeFill="accent1" w:themeFillTint="66"/>
          </w:tcPr>
          <w:p w14:paraId="56094DB2" w14:textId="56E041A0" w:rsidR="00C647F5" w:rsidRPr="00F366D1" w:rsidRDefault="00C647F5" w:rsidP="00F366D1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4</w:t>
            </w:r>
          </w:p>
        </w:tc>
        <w:tc>
          <w:tcPr>
            <w:tcW w:w="2409" w:type="dxa"/>
          </w:tcPr>
          <w:p w14:paraId="1DB368F7" w14:textId="77777777" w:rsidR="00C647F5" w:rsidRDefault="00C647F5">
            <w:pPr>
              <w:rPr>
                <w:lang w:val="ru-RU"/>
              </w:rPr>
            </w:pPr>
          </w:p>
          <w:p w14:paraId="3DF68C04" w14:textId="6ABE32E5" w:rsidR="00F366D1" w:rsidRDefault="00F366D1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366653F0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69B5D2FB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7F6BCCA2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5F98A3B8" w14:textId="77777777" w:rsidR="00C647F5" w:rsidRDefault="00C647F5">
            <w:pPr>
              <w:rPr>
                <w:lang w:val="ru-RU"/>
              </w:rPr>
            </w:pPr>
          </w:p>
        </w:tc>
      </w:tr>
      <w:tr w:rsidR="00C647F5" w14:paraId="0C161C05" w14:textId="7DCDBBA8" w:rsidTr="00237DC9">
        <w:tc>
          <w:tcPr>
            <w:tcW w:w="988" w:type="dxa"/>
            <w:shd w:val="clear" w:color="auto" w:fill="B4C6E7" w:themeFill="accent1" w:themeFillTint="66"/>
          </w:tcPr>
          <w:p w14:paraId="550CA5B6" w14:textId="74428A10" w:rsidR="00C647F5" w:rsidRPr="00F366D1" w:rsidRDefault="00C647F5" w:rsidP="00F366D1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5</w:t>
            </w:r>
          </w:p>
        </w:tc>
        <w:tc>
          <w:tcPr>
            <w:tcW w:w="2409" w:type="dxa"/>
          </w:tcPr>
          <w:p w14:paraId="3B8B3F12" w14:textId="77777777" w:rsidR="00C647F5" w:rsidRDefault="00C647F5">
            <w:pPr>
              <w:rPr>
                <w:lang w:val="ru-RU"/>
              </w:rPr>
            </w:pPr>
          </w:p>
          <w:p w14:paraId="613E2004" w14:textId="06CE832E" w:rsidR="00F366D1" w:rsidRDefault="00F366D1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275F1EAF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467CF124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423BD2E3" w14:textId="77777777" w:rsidR="00C647F5" w:rsidRDefault="00C647F5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58A518DC" w14:textId="77777777" w:rsidR="00C647F5" w:rsidRDefault="00C647F5">
            <w:pPr>
              <w:rPr>
                <w:lang w:val="ru-RU"/>
              </w:rPr>
            </w:pPr>
          </w:p>
        </w:tc>
      </w:tr>
      <w:tr w:rsidR="00C647F5" w14:paraId="3D26C66A" w14:textId="50B7A170" w:rsidTr="00237DC9">
        <w:tc>
          <w:tcPr>
            <w:tcW w:w="988" w:type="dxa"/>
            <w:shd w:val="clear" w:color="auto" w:fill="B4C6E7" w:themeFill="accent1" w:themeFillTint="66"/>
          </w:tcPr>
          <w:p w14:paraId="473D9F38" w14:textId="486AC339" w:rsidR="00C647F5" w:rsidRPr="00F366D1" w:rsidRDefault="00C647F5" w:rsidP="00F366D1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Прочее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2211F20D" w14:textId="6C725133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57F93DF" w14:textId="554C0A34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2268" w:type="dxa"/>
          </w:tcPr>
          <w:p w14:paraId="24F9B090" w14:textId="4FACBC36" w:rsidR="00C647F5" w:rsidRDefault="00C647F5" w:rsidP="00F366D1">
            <w:pPr>
              <w:rPr>
                <w:lang w:val="ru-RU"/>
              </w:rPr>
            </w:pPr>
          </w:p>
        </w:tc>
        <w:tc>
          <w:tcPr>
            <w:tcW w:w="2552" w:type="dxa"/>
            <w:shd w:val="clear" w:color="auto" w:fill="B4C6E7" w:themeFill="accent1" w:themeFillTint="66"/>
          </w:tcPr>
          <w:p w14:paraId="19F73E89" w14:textId="7D05D025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2FB926A5" w14:textId="4AC9D0AE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</w:tr>
      <w:tr w:rsidR="00C647F5" w14:paraId="42B189E8" w14:textId="77777777" w:rsidTr="00237DC9">
        <w:tc>
          <w:tcPr>
            <w:tcW w:w="988" w:type="dxa"/>
            <w:shd w:val="clear" w:color="auto" w:fill="B4C6E7" w:themeFill="accent1" w:themeFillTint="66"/>
          </w:tcPr>
          <w:p w14:paraId="7B2673FB" w14:textId="67756617" w:rsidR="00C647F5" w:rsidRPr="00F366D1" w:rsidRDefault="00C647F5" w:rsidP="00F366D1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ИТОГО: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8247F1D" w14:textId="4FDA5EA0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  <w:p w14:paraId="0D3C710D" w14:textId="1C851287" w:rsidR="00F366D1" w:rsidRDefault="00F366D1" w:rsidP="00F366D1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62C9C5C7" w14:textId="32D4F719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2268" w:type="dxa"/>
          </w:tcPr>
          <w:p w14:paraId="55C27BCD" w14:textId="77777777" w:rsidR="00C647F5" w:rsidRDefault="00C647F5" w:rsidP="00F366D1">
            <w:pPr>
              <w:rPr>
                <w:lang w:val="ru-RU"/>
              </w:rPr>
            </w:pPr>
          </w:p>
        </w:tc>
        <w:tc>
          <w:tcPr>
            <w:tcW w:w="2552" w:type="dxa"/>
            <w:shd w:val="clear" w:color="auto" w:fill="B4C6E7" w:themeFill="accent1" w:themeFillTint="66"/>
          </w:tcPr>
          <w:p w14:paraId="211445F6" w14:textId="56AFAE96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21CCA3B8" w14:textId="26F2070F" w:rsidR="00C647F5" w:rsidRDefault="00F366D1" w:rsidP="00F366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</w:tr>
    </w:tbl>
    <w:p w14:paraId="43E0C4AE" w14:textId="7AE45436" w:rsidR="00F366D1" w:rsidRDefault="00F366D1" w:rsidP="00F366D1">
      <w:pPr>
        <w:pStyle w:val="a4"/>
        <w:rPr>
          <w:color w:val="FF0000"/>
          <w:lang w:val="ru-RU"/>
        </w:rPr>
      </w:pPr>
    </w:p>
    <w:p w14:paraId="247F990D" w14:textId="77777777" w:rsidR="00F25008" w:rsidRDefault="00F25008" w:rsidP="00F366D1">
      <w:pPr>
        <w:pStyle w:val="a4"/>
        <w:rPr>
          <w:color w:val="FF0000"/>
          <w:lang w:val="ru-RU"/>
        </w:rPr>
      </w:pPr>
    </w:p>
    <w:p w14:paraId="6907EADC" w14:textId="702ADBE7" w:rsidR="008A7AC4" w:rsidRPr="00A96162" w:rsidRDefault="008A7AC4" w:rsidP="008A7AC4">
      <w:pPr>
        <w:pStyle w:val="a4"/>
        <w:numPr>
          <w:ilvl w:val="0"/>
          <w:numId w:val="1"/>
        </w:numPr>
        <w:rPr>
          <w:b/>
          <w:color w:val="FF0000"/>
          <w:lang w:val="ru-RU"/>
        </w:rPr>
      </w:pPr>
      <w:r w:rsidRPr="00A96162">
        <w:rPr>
          <w:b/>
          <w:color w:val="FF0000"/>
          <w:lang w:val="ru-RU"/>
        </w:rPr>
        <w:t>При заполнении таблицы в первых пяти строках должны быть вписаны самые крупные дебиторы организации</w:t>
      </w:r>
      <w:r w:rsidR="00A96162" w:rsidRPr="00A96162">
        <w:rPr>
          <w:b/>
          <w:color w:val="FF0000"/>
          <w:lang w:val="ru-RU"/>
        </w:rPr>
        <w:t xml:space="preserve"> (</w:t>
      </w:r>
      <w:r w:rsidR="00A96162" w:rsidRPr="00A96162">
        <w:rPr>
          <w:b/>
          <w:color w:val="FF0000"/>
        </w:rPr>
        <w:t>c</w:t>
      </w:r>
      <w:r w:rsidR="00A96162" w:rsidRPr="00A96162">
        <w:rPr>
          <w:b/>
          <w:color w:val="FF0000"/>
          <w:lang w:val="ru-RU"/>
        </w:rPr>
        <w:t>оставляющие «львиную» долю дебиторской задолженности)</w:t>
      </w:r>
      <w:r w:rsidRPr="00A96162">
        <w:rPr>
          <w:b/>
          <w:color w:val="FF0000"/>
          <w:lang w:val="ru-RU"/>
        </w:rPr>
        <w:t>;</w:t>
      </w:r>
    </w:p>
    <w:p w14:paraId="322C65D3" w14:textId="24010C12" w:rsidR="008A7AC4" w:rsidRPr="00A96162" w:rsidRDefault="008A7AC4" w:rsidP="008A7AC4">
      <w:pPr>
        <w:pStyle w:val="a4"/>
        <w:numPr>
          <w:ilvl w:val="0"/>
          <w:numId w:val="1"/>
        </w:numPr>
        <w:rPr>
          <w:b/>
          <w:color w:val="ED7D31" w:themeColor="accent2"/>
          <w:lang w:val="ru-RU"/>
        </w:rPr>
      </w:pPr>
      <w:r w:rsidRPr="00A96162">
        <w:rPr>
          <w:b/>
          <w:color w:val="ED7D31" w:themeColor="accent2"/>
          <w:lang w:val="ru-RU"/>
        </w:rPr>
        <w:t>При заполнении таблицы в строке «Прочее» прописывается только сумма задолженностей по всем остальным дебиторам организации за исключением первых пяти заполненных пунктов.</w:t>
      </w:r>
    </w:p>
    <w:p w14:paraId="5738DC9D" w14:textId="66221B82" w:rsidR="00F366D1" w:rsidRDefault="00F366D1" w:rsidP="00F366D1">
      <w:pPr>
        <w:rPr>
          <w:color w:val="FF0000"/>
          <w:lang w:val="ru-RU"/>
        </w:rPr>
      </w:pPr>
    </w:p>
    <w:p w14:paraId="645029D1" w14:textId="72612D03" w:rsidR="00DF4376" w:rsidRDefault="00DF4376" w:rsidP="00F366D1">
      <w:pPr>
        <w:rPr>
          <w:color w:val="FF0000"/>
          <w:lang w:val="ru-RU"/>
        </w:rPr>
      </w:pPr>
    </w:p>
    <w:p w14:paraId="1508B01F" w14:textId="28F2A179" w:rsidR="00DF4376" w:rsidRPr="00BA1D50" w:rsidRDefault="00BA1D50" w:rsidP="00BA1D50">
      <w:pPr>
        <w:pStyle w:val="a7"/>
        <w:rPr>
          <w:b/>
          <w:color w:val="4472C4" w:themeColor="accent1"/>
          <w:lang w:val="ru-RU"/>
        </w:rPr>
      </w:pPr>
      <w:r w:rsidRPr="00BA1D50">
        <w:rPr>
          <w:b/>
          <w:color w:val="4472C4" w:themeColor="accent1"/>
          <w:lang w:val="ru-RU"/>
        </w:rPr>
        <w:t xml:space="preserve">СМ. </w:t>
      </w:r>
      <w:r>
        <w:rPr>
          <w:b/>
          <w:color w:val="4472C4" w:themeColor="accent1"/>
          <w:lang w:val="ru-RU"/>
        </w:rPr>
        <w:t xml:space="preserve"> ЕСТЬ </w:t>
      </w:r>
      <w:r w:rsidRPr="00BA1D50">
        <w:rPr>
          <w:b/>
          <w:color w:val="4472C4" w:themeColor="accent1"/>
          <w:lang w:val="ru-RU"/>
        </w:rPr>
        <w:t>ТАБЛИЦ</w:t>
      </w:r>
      <w:r>
        <w:rPr>
          <w:b/>
          <w:color w:val="4472C4" w:themeColor="accent1"/>
          <w:lang w:val="ru-RU"/>
        </w:rPr>
        <w:t>А</w:t>
      </w:r>
      <w:r w:rsidRPr="00BA1D50">
        <w:rPr>
          <w:b/>
          <w:color w:val="4472C4" w:themeColor="accent1"/>
          <w:lang w:val="ru-RU"/>
        </w:rPr>
        <w:t xml:space="preserve"> НИЖЕ </w:t>
      </w:r>
    </w:p>
    <w:p w14:paraId="3DFEE0B6" w14:textId="75FF868C" w:rsidR="00F366D1" w:rsidRDefault="00F366D1" w:rsidP="00F366D1">
      <w:pPr>
        <w:rPr>
          <w:color w:val="FF0000"/>
          <w:lang w:val="ru-RU"/>
        </w:rPr>
      </w:pPr>
    </w:p>
    <w:p w14:paraId="1F96608C" w14:textId="7314D095" w:rsidR="00F25008" w:rsidRDefault="003250A0">
      <w:pPr>
        <w:rPr>
          <w:b/>
          <w:sz w:val="28"/>
          <w:szCs w:val="28"/>
          <w:lang w:val="ru-RU"/>
        </w:rPr>
      </w:pPr>
      <w:r w:rsidRPr="00DF4376">
        <w:rPr>
          <w:b/>
          <w:sz w:val="28"/>
          <w:szCs w:val="28"/>
          <w:lang w:val="ru-RU"/>
        </w:rPr>
        <w:lastRenderedPageBreak/>
        <w:t>РАСШИФРОВКА КРЕДИТОРОВ</w:t>
      </w:r>
    </w:p>
    <w:p w14:paraId="0092E011" w14:textId="1DAA8A13" w:rsidR="00D611C8" w:rsidRDefault="00D611C8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268"/>
        <w:gridCol w:w="2552"/>
        <w:gridCol w:w="3543"/>
      </w:tblGrid>
      <w:tr w:rsidR="00D611C8" w:rsidRPr="00A549EF" w14:paraId="283B5AB4" w14:textId="77777777" w:rsidTr="00F769B0">
        <w:trPr>
          <w:trHeight w:val="676"/>
        </w:trPr>
        <w:tc>
          <w:tcPr>
            <w:tcW w:w="988" w:type="dxa"/>
            <w:vMerge w:val="restart"/>
            <w:shd w:val="clear" w:color="auto" w:fill="B4C6E7" w:themeFill="accent1" w:themeFillTint="66"/>
          </w:tcPr>
          <w:p w14:paraId="6A0C1CFC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B4C6E7" w:themeFill="accent1" w:themeFillTint="66"/>
          </w:tcPr>
          <w:p w14:paraId="6DC0D39C" w14:textId="77777777" w:rsidR="00D611C8" w:rsidRPr="008B0A54" w:rsidRDefault="00D611C8" w:rsidP="00F769B0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Наименование организации-контрагента и ИНН</w:t>
            </w:r>
          </w:p>
        </w:tc>
        <w:tc>
          <w:tcPr>
            <w:tcW w:w="2410" w:type="dxa"/>
            <w:vMerge w:val="restart"/>
            <w:shd w:val="clear" w:color="auto" w:fill="B4C6E7" w:themeFill="accent1" w:themeFillTint="66"/>
          </w:tcPr>
          <w:p w14:paraId="19830AF3" w14:textId="77777777" w:rsidR="00D611C8" w:rsidRPr="008B0A54" w:rsidRDefault="00D611C8" w:rsidP="00F769B0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Наименование товара (услуги)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347C8BE" w14:textId="77777777" w:rsidR="00D611C8" w:rsidRPr="008B0A54" w:rsidRDefault="00D611C8" w:rsidP="00F769B0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Сумма задолженности</w:t>
            </w:r>
          </w:p>
        </w:tc>
        <w:tc>
          <w:tcPr>
            <w:tcW w:w="2552" w:type="dxa"/>
            <w:vMerge w:val="restart"/>
            <w:shd w:val="clear" w:color="auto" w:fill="B4C6E7" w:themeFill="accent1" w:themeFillTint="66"/>
          </w:tcPr>
          <w:p w14:paraId="03ED1145" w14:textId="77777777" w:rsidR="00D611C8" w:rsidRPr="008B0A54" w:rsidRDefault="00D611C8" w:rsidP="00F769B0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Дата возникновения задолженности (Дата первого первичного документа)</w:t>
            </w:r>
          </w:p>
        </w:tc>
        <w:tc>
          <w:tcPr>
            <w:tcW w:w="3543" w:type="dxa"/>
            <w:vMerge w:val="restart"/>
            <w:shd w:val="clear" w:color="auto" w:fill="B4C6E7" w:themeFill="accent1" w:themeFillTint="66"/>
          </w:tcPr>
          <w:p w14:paraId="38BC3B4A" w14:textId="77777777" w:rsidR="00D611C8" w:rsidRPr="008B0A54" w:rsidRDefault="00D611C8" w:rsidP="00F769B0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Дата погашения задолженности (по договору)</w:t>
            </w:r>
          </w:p>
        </w:tc>
      </w:tr>
      <w:tr w:rsidR="00D611C8" w14:paraId="550B2CEF" w14:textId="77777777" w:rsidTr="00F769B0">
        <w:tc>
          <w:tcPr>
            <w:tcW w:w="988" w:type="dxa"/>
            <w:vMerge/>
            <w:shd w:val="clear" w:color="auto" w:fill="B4C6E7" w:themeFill="accent1" w:themeFillTint="66"/>
          </w:tcPr>
          <w:p w14:paraId="0813768C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09" w:type="dxa"/>
            <w:vMerge/>
          </w:tcPr>
          <w:p w14:paraId="6DB79373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410" w:type="dxa"/>
            <w:vMerge/>
          </w:tcPr>
          <w:p w14:paraId="36A0A4A1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4BD88616" w14:textId="77777777" w:rsidR="00D611C8" w:rsidRPr="008B0A54" w:rsidRDefault="00D611C8" w:rsidP="00F769B0">
            <w:pPr>
              <w:jc w:val="center"/>
              <w:rPr>
                <w:b/>
                <w:lang w:val="ru-RU"/>
              </w:rPr>
            </w:pPr>
            <w:r w:rsidRPr="008B0A54">
              <w:rPr>
                <w:b/>
                <w:lang w:val="ru-RU"/>
              </w:rPr>
              <w:t>всего</w:t>
            </w:r>
          </w:p>
        </w:tc>
        <w:tc>
          <w:tcPr>
            <w:tcW w:w="2552" w:type="dxa"/>
            <w:vMerge/>
          </w:tcPr>
          <w:p w14:paraId="4C9CCC6A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14:paraId="365AD0DB" w14:textId="77777777" w:rsidR="00D611C8" w:rsidRDefault="00D611C8" w:rsidP="00F769B0">
            <w:pPr>
              <w:rPr>
                <w:lang w:val="ru-RU"/>
              </w:rPr>
            </w:pPr>
          </w:p>
        </w:tc>
      </w:tr>
      <w:tr w:rsidR="00D611C8" w14:paraId="0BD10BF4" w14:textId="77777777" w:rsidTr="00F769B0">
        <w:tc>
          <w:tcPr>
            <w:tcW w:w="988" w:type="dxa"/>
            <w:shd w:val="clear" w:color="auto" w:fill="B4C6E7" w:themeFill="accent1" w:themeFillTint="66"/>
          </w:tcPr>
          <w:p w14:paraId="28C7C2B0" w14:textId="77777777" w:rsidR="00D611C8" w:rsidRPr="00F366D1" w:rsidRDefault="00D611C8" w:rsidP="00F769B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366D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</w:tcPr>
          <w:p w14:paraId="1284A911" w14:textId="4950BC67" w:rsidR="00D611C8" w:rsidRPr="008B0A54" w:rsidRDefault="00A501A9" w:rsidP="00F769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АО</w:t>
            </w:r>
            <w:r w:rsidR="00D611C8" w:rsidRPr="008B0A54">
              <w:rPr>
                <w:sz w:val="20"/>
                <w:szCs w:val="20"/>
                <w:highlight w:val="yellow"/>
                <w:lang w:val="ru-RU"/>
              </w:rPr>
              <w:t xml:space="preserve"> «</w:t>
            </w:r>
            <w:r>
              <w:rPr>
                <w:sz w:val="20"/>
                <w:szCs w:val="20"/>
                <w:highlight w:val="yellow"/>
                <w:lang w:val="ru-RU"/>
              </w:rPr>
              <w:t>ТОРГПРОМ</w:t>
            </w:r>
            <w:r w:rsidR="00D611C8" w:rsidRPr="008B0A54">
              <w:rPr>
                <w:sz w:val="20"/>
                <w:szCs w:val="20"/>
                <w:highlight w:val="yellow"/>
                <w:lang w:val="ru-RU"/>
              </w:rPr>
              <w:t>»</w:t>
            </w:r>
            <w:r w:rsidR="00D611C8" w:rsidRPr="008B0A54">
              <w:rPr>
                <w:sz w:val="20"/>
                <w:szCs w:val="20"/>
                <w:lang w:val="ru-RU"/>
              </w:rPr>
              <w:t xml:space="preserve"> </w:t>
            </w:r>
            <w:r w:rsidR="00D611C8" w:rsidRPr="008B0A54">
              <w:rPr>
                <w:sz w:val="20"/>
                <w:szCs w:val="20"/>
                <w:highlight w:val="yellow"/>
                <w:lang w:val="ru-RU"/>
              </w:rPr>
              <w:t>ИНН: 777777777</w:t>
            </w:r>
          </w:p>
        </w:tc>
        <w:tc>
          <w:tcPr>
            <w:tcW w:w="2410" w:type="dxa"/>
          </w:tcPr>
          <w:p w14:paraId="06569D76" w14:textId="77777777" w:rsidR="00D611C8" w:rsidRPr="008B0A54" w:rsidRDefault="00D611C8" w:rsidP="00F769B0">
            <w:pPr>
              <w:rPr>
                <w:sz w:val="20"/>
                <w:szCs w:val="20"/>
                <w:highlight w:val="yellow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- Товары;</w:t>
            </w:r>
          </w:p>
          <w:p w14:paraId="43E378C1" w14:textId="77777777" w:rsidR="00D611C8" w:rsidRPr="008B0A54" w:rsidRDefault="00D611C8" w:rsidP="00F769B0">
            <w:pPr>
              <w:rPr>
                <w:sz w:val="20"/>
                <w:szCs w:val="20"/>
                <w:highlight w:val="yellow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- Услуги;</w:t>
            </w:r>
          </w:p>
          <w:p w14:paraId="089C697F" w14:textId="77777777" w:rsidR="00D611C8" w:rsidRPr="008B0A54" w:rsidRDefault="00D611C8" w:rsidP="00F769B0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- Работы;</w:t>
            </w:r>
          </w:p>
          <w:p w14:paraId="7387D765" w14:textId="77777777" w:rsidR="00D611C8" w:rsidRPr="008B0A54" w:rsidRDefault="00D611C8" w:rsidP="00F769B0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(выбрать </w:t>
            </w:r>
            <w:r>
              <w:rPr>
                <w:sz w:val="20"/>
                <w:szCs w:val="20"/>
                <w:highlight w:val="yellow"/>
                <w:lang w:val="ru-RU"/>
              </w:rPr>
              <w:t>категорию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>)</w:t>
            </w:r>
          </w:p>
        </w:tc>
        <w:tc>
          <w:tcPr>
            <w:tcW w:w="2268" w:type="dxa"/>
          </w:tcPr>
          <w:p w14:paraId="3D5F289D" w14:textId="51BC2460" w:rsidR="00D611C8" w:rsidRPr="008B0A54" w:rsidRDefault="00D611C8" w:rsidP="00F769B0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b/>
                <w:sz w:val="20"/>
                <w:szCs w:val="20"/>
                <w:highlight w:val="yellow"/>
                <w:lang w:val="ru-RU"/>
              </w:rPr>
              <w:t>ПРИМЕР:</w:t>
            </w:r>
            <w:r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  <w:r w:rsidR="00A501A9">
              <w:rPr>
                <w:sz w:val="20"/>
                <w:szCs w:val="20"/>
                <w:highlight w:val="yellow"/>
                <w:lang w:val="ru-RU"/>
              </w:rPr>
              <w:t>200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 тыс. рублей</w:t>
            </w:r>
          </w:p>
        </w:tc>
        <w:tc>
          <w:tcPr>
            <w:tcW w:w="2552" w:type="dxa"/>
          </w:tcPr>
          <w:p w14:paraId="06A5F0AC" w14:textId="77777777" w:rsidR="00D611C8" w:rsidRPr="008B0A54" w:rsidRDefault="00D611C8" w:rsidP="00F769B0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(см. условия оплаты своего договора)</w:t>
            </w:r>
          </w:p>
          <w:p w14:paraId="270E9D99" w14:textId="77777777" w:rsidR="00D611C8" w:rsidRPr="008B0A54" w:rsidRDefault="00D611C8" w:rsidP="00F769B0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b/>
                <w:sz w:val="20"/>
                <w:szCs w:val="20"/>
                <w:highlight w:val="yellow"/>
                <w:lang w:val="ru-RU"/>
              </w:rPr>
              <w:t>ПРИМЕР: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 подписан АКТ или ТОРГ-12 10.11.2018 г.</w:t>
            </w:r>
          </w:p>
        </w:tc>
        <w:tc>
          <w:tcPr>
            <w:tcW w:w="3543" w:type="dxa"/>
          </w:tcPr>
          <w:p w14:paraId="76C0C960" w14:textId="77777777" w:rsidR="00D611C8" w:rsidRPr="008B0A54" w:rsidRDefault="00D611C8" w:rsidP="00F769B0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sz w:val="20"/>
                <w:szCs w:val="20"/>
                <w:highlight w:val="yellow"/>
                <w:lang w:val="ru-RU"/>
              </w:rPr>
              <w:t>С момента подписания первичного документа + кол-во дней указанных в договоре</w:t>
            </w:r>
          </w:p>
          <w:p w14:paraId="5CFA5D10" w14:textId="77777777" w:rsidR="00D611C8" w:rsidRPr="008B0A54" w:rsidRDefault="00D611C8" w:rsidP="00F769B0">
            <w:pPr>
              <w:rPr>
                <w:sz w:val="20"/>
                <w:szCs w:val="20"/>
                <w:lang w:val="ru-RU"/>
              </w:rPr>
            </w:pPr>
            <w:r w:rsidRPr="008B0A54">
              <w:rPr>
                <w:b/>
                <w:sz w:val="20"/>
                <w:szCs w:val="20"/>
                <w:highlight w:val="yellow"/>
                <w:lang w:val="ru-RU"/>
              </w:rPr>
              <w:t>ПРИМЕР</w:t>
            </w:r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: по договору указана оплата не позднее 10 дней с момента подписания </w:t>
            </w:r>
            <w:proofErr w:type="spellStart"/>
            <w:r w:rsidRPr="008B0A54">
              <w:rPr>
                <w:sz w:val="20"/>
                <w:szCs w:val="20"/>
                <w:highlight w:val="yellow"/>
                <w:lang w:val="ru-RU"/>
              </w:rPr>
              <w:t>АКТа</w:t>
            </w:r>
            <w:proofErr w:type="spellEnd"/>
            <w:r w:rsidRPr="008B0A54">
              <w:rPr>
                <w:sz w:val="20"/>
                <w:szCs w:val="20"/>
                <w:highlight w:val="yellow"/>
                <w:lang w:val="ru-RU"/>
              </w:rPr>
              <w:t xml:space="preserve"> или ТОРГ-12. Дата: 21.11.2018</w:t>
            </w:r>
          </w:p>
        </w:tc>
      </w:tr>
      <w:tr w:rsidR="00D611C8" w14:paraId="6F409F34" w14:textId="77777777" w:rsidTr="00F769B0">
        <w:tc>
          <w:tcPr>
            <w:tcW w:w="988" w:type="dxa"/>
            <w:shd w:val="clear" w:color="auto" w:fill="B4C6E7" w:themeFill="accent1" w:themeFillTint="66"/>
          </w:tcPr>
          <w:p w14:paraId="6DC43AA6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2</w:t>
            </w:r>
          </w:p>
        </w:tc>
        <w:tc>
          <w:tcPr>
            <w:tcW w:w="2409" w:type="dxa"/>
          </w:tcPr>
          <w:p w14:paraId="1C0AD630" w14:textId="77777777" w:rsidR="00D611C8" w:rsidRDefault="00D611C8" w:rsidP="00F769B0">
            <w:pPr>
              <w:rPr>
                <w:lang w:val="ru-RU"/>
              </w:rPr>
            </w:pPr>
          </w:p>
          <w:p w14:paraId="66C7A7DB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147F7426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78978562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67E4E78D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5393FC3D" w14:textId="77777777" w:rsidR="00D611C8" w:rsidRDefault="00D611C8" w:rsidP="00F769B0">
            <w:pPr>
              <w:rPr>
                <w:lang w:val="ru-RU"/>
              </w:rPr>
            </w:pPr>
          </w:p>
        </w:tc>
      </w:tr>
      <w:tr w:rsidR="00D611C8" w14:paraId="1A652B26" w14:textId="77777777" w:rsidTr="00F769B0">
        <w:tc>
          <w:tcPr>
            <w:tcW w:w="988" w:type="dxa"/>
            <w:shd w:val="clear" w:color="auto" w:fill="B4C6E7" w:themeFill="accent1" w:themeFillTint="66"/>
          </w:tcPr>
          <w:p w14:paraId="1D286F13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3</w:t>
            </w:r>
          </w:p>
        </w:tc>
        <w:tc>
          <w:tcPr>
            <w:tcW w:w="2409" w:type="dxa"/>
          </w:tcPr>
          <w:p w14:paraId="3339F602" w14:textId="77777777" w:rsidR="00D611C8" w:rsidRDefault="00D611C8" w:rsidP="00F769B0">
            <w:pPr>
              <w:rPr>
                <w:lang w:val="ru-RU"/>
              </w:rPr>
            </w:pPr>
          </w:p>
          <w:p w14:paraId="519F76DA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6D9F7803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19CBFDBC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41D1C57A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2791AB4B" w14:textId="77777777" w:rsidR="00D611C8" w:rsidRDefault="00D611C8" w:rsidP="00F769B0">
            <w:pPr>
              <w:rPr>
                <w:lang w:val="ru-RU"/>
              </w:rPr>
            </w:pPr>
          </w:p>
        </w:tc>
      </w:tr>
      <w:tr w:rsidR="00D611C8" w14:paraId="7FFF49EC" w14:textId="77777777" w:rsidTr="00F769B0">
        <w:tc>
          <w:tcPr>
            <w:tcW w:w="988" w:type="dxa"/>
            <w:shd w:val="clear" w:color="auto" w:fill="B4C6E7" w:themeFill="accent1" w:themeFillTint="66"/>
          </w:tcPr>
          <w:p w14:paraId="36350E8C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4</w:t>
            </w:r>
          </w:p>
        </w:tc>
        <w:tc>
          <w:tcPr>
            <w:tcW w:w="2409" w:type="dxa"/>
          </w:tcPr>
          <w:p w14:paraId="2C7BDE1D" w14:textId="77777777" w:rsidR="00D611C8" w:rsidRDefault="00D611C8" w:rsidP="00F769B0">
            <w:pPr>
              <w:rPr>
                <w:lang w:val="ru-RU"/>
              </w:rPr>
            </w:pPr>
          </w:p>
          <w:p w14:paraId="2704BC6E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7BBD7CC8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2F690708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6B3F99D7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01FDC871" w14:textId="77777777" w:rsidR="00D611C8" w:rsidRDefault="00D611C8" w:rsidP="00F769B0">
            <w:pPr>
              <w:rPr>
                <w:lang w:val="ru-RU"/>
              </w:rPr>
            </w:pPr>
          </w:p>
        </w:tc>
      </w:tr>
      <w:tr w:rsidR="00D611C8" w14:paraId="30DFCF6D" w14:textId="77777777" w:rsidTr="00F769B0">
        <w:tc>
          <w:tcPr>
            <w:tcW w:w="988" w:type="dxa"/>
            <w:shd w:val="clear" w:color="auto" w:fill="B4C6E7" w:themeFill="accent1" w:themeFillTint="66"/>
          </w:tcPr>
          <w:p w14:paraId="7FC3EFC0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5</w:t>
            </w:r>
          </w:p>
        </w:tc>
        <w:tc>
          <w:tcPr>
            <w:tcW w:w="2409" w:type="dxa"/>
          </w:tcPr>
          <w:p w14:paraId="1AD183D3" w14:textId="77777777" w:rsidR="00D611C8" w:rsidRDefault="00D611C8" w:rsidP="00F769B0">
            <w:pPr>
              <w:rPr>
                <w:lang w:val="ru-RU"/>
              </w:rPr>
            </w:pPr>
          </w:p>
          <w:p w14:paraId="72BAFEDB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410" w:type="dxa"/>
          </w:tcPr>
          <w:p w14:paraId="0AD00329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6915E913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089B6C0D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3543" w:type="dxa"/>
          </w:tcPr>
          <w:p w14:paraId="4D8CE2A6" w14:textId="77777777" w:rsidR="00D611C8" w:rsidRDefault="00D611C8" w:rsidP="00F769B0">
            <w:pPr>
              <w:rPr>
                <w:lang w:val="ru-RU"/>
              </w:rPr>
            </w:pPr>
          </w:p>
        </w:tc>
      </w:tr>
      <w:tr w:rsidR="00D611C8" w14:paraId="75688849" w14:textId="77777777" w:rsidTr="00F769B0">
        <w:tc>
          <w:tcPr>
            <w:tcW w:w="988" w:type="dxa"/>
            <w:shd w:val="clear" w:color="auto" w:fill="B4C6E7" w:themeFill="accent1" w:themeFillTint="66"/>
          </w:tcPr>
          <w:p w14:paraId="15254944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Прочее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2785FD0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F008B8C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2268" w:type="dxa"/>
          </w:tcPr>
          <w:p w14:paraId="02F663AA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552" w:type="dxa"/>
            <w:shd w:val="clear" w:color="auto" w:fill="B4C6E7" w:themeFill="accent1" w:themeFillTint="66"/>
          </w:tcPr>
          <w:p w14:paraId="415A1027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372A8622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</w:tr>
      <w:tr w:rsidR="00D611C8" w14:paraId="4B5C58E4" w14:textId="77777777" w:rsidTr="00F769B0">
        <w:tc>
          <w:tcPr>
            <w:tcW w:w="988" w:type="dxa"/>
            <w:shd w:val="clear" w:color="auto" w:fill="B4C6E7" w:themeFill="accent1" w:themeFillTint="66"/>
          </w:tcPr>
          <w:p w14:paraId="464152BA" w14:textId="77777777" w:rsidR="00D611C8" w:rsidRPr="00F366D1" w:rsidRDefault="00D611C8" w:rsidP="00F769B0">
            <w:pPr>
              <w:jc w:val="center"/>
              <w:rPr>
                <w:b/>
                <w:lang w:val="ru-RU"/>
              </w:rPr>
            </w:pPr>
            <w:r w:rsidRPr="00F366D1">
              <w:rPr>
                <w:b/>
                <w:lang w:val="ru-RU"/>
              </w:rPr>
              <w:t>ИТОГО: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30F8D4D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  <w:p w14:paraId="16AC93C0" w14:textId="77777777" w:rsidR="00D611C8" w:rsidRDefault="00D611C8" w:rsidP="00F769B0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75ACD8E1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2268" w:type="dxa"/>
          </w:tcPr>
          <w:p w14:paraId="03092F6C" w14:textId="77777777" w:rsidR="00D611C8" w:rsidRDefault="00D611C8" w:rsidP="00F769B0">
            <w:pPr>
              <w:rPr>
                <w:lang w:val="ru-RU"/>
              </w:rPr>
            </w:pPr>
          </w:p>
        </w:tc>
        <w:tc>
          <w:tcPr>
            <w:tcW w:w="2552" w:type="dxa"/>
            <w:shd w:val="clear" w:color="auto" w:fill="B4C6E7" w:themeFill="accent1" w:themeFillTint="66"/>
          </w:tcPr>
          <w:p w14:paraId="126CE322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14:paraId="765238DC" w14:textId="77777777" w:rsidR="00D611C8" w:rsidRDefault="00D611C8" w:rsidP="00F769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Ячейка не заполняется</w:t>
            </w:r>
          </w:p>
        </w:tc>
      </w:tr>
    </w:tbl>
    <w:p w14:paraId="30CAFE2B" w14:textId="77777777" w:rsidR="00D611C8" w:rsidRDefault="00D611C8" w:rsidP="00D611C8">
      <w:pPr>
        <w:pStyle w:val="a4"/>
        <w:rPr>
          <w:color w:val="FF0000"/>
          <w:lang w:val="ru-RU"/>
        </w:rPr>
      </w:pPr>
    </w:p>
    <w:p w14:paraId="76857B34" w14:textId="77777777" w:rsidR="00D611C8" w:rsidRDefault="00D611C8" w:rsidP="00D611C8">
      <w:pPr>
        <w:pStyle w:val="a4"/>
        <w:rPr>
          <w:color w:val="FF0000"/>
          <w:lang w:val="ru-RU"/>
        </w:rPr>
      </w:pPr>
    </w:p>
    <w:p w14:paraId="12846758" w14:textId="33CCB9B7" w:rsidR="002C658A" w:rsidRPr="00A96162" w:rsidRDefault="002C658A" w:rsidP="002C658A">
      <w:pPr>
        <w:pStyle w:val="a4"/>
        <w:numPr>
          <w:ilvl w:val="0"/>
          <w:numId w:val="1"/>
        </w:numPr>
        <w:rPr>
          <w:b/>
          <w:color w:val="FF0000"/>
          <w:lang w:val="ru-RU"/>
        </w:rPr>
      </w:pPr>
      <w:r w:rsidRPr="00A96162">
        <w:rPr>
          <w:b/>
          <w:color w:val="FF0000"/>
          <w:lang w:val="ru-RU"/>
        </w:rPr>
        <w:t xml:space="preserve">При заполнении таблицы в первых пяти строках должны быть вписаны самые крупные </w:t>
      </w:r>
      <w:r>
        <w:rPr>
          <w:b/>
          <w:color w:val="FF0000"/>
          <w:lang w:val="ru-RU"/>
        </w:rPr>
        <w:t>кредиторы</w:t>
      </w:r>
      <w:r w:rsidRPr="00A96162">
        <w:rPr>
          <w:b/>
          <w:color w:val="FF0000"/>
          <w:lang w:val="ru-RU"/>
        </w:rPr>
        <w:t xml:space="preserve"> организации (</w:t>
      </w:r>
      <w:r w:rsidRPr="00A96162">
        <w:rPr>
          <w:b/>
          <w:color w:val="FF0000"/>
        </w:rPr>
        <w:t>c</w:t>
      </w:r>
      <w:r w:rsidRPr="00A96162">
        <w:rPr>
          <w:b/>
          <w:color w:val="FF0000"/>
          <w:lang w:val="ru-RU"/>
        </w:rPr>
        <w:t xml:space="preserve">оставляющие «львиную» долю </w:t>
      </w:r>
      <w:r>
        <w:rPr>
          <w:b/>
          <w:color w:val="FF0000"/>
          <w:lang w:val="ru-RU"/>
        </w:rPr>
        <w:t>кредиторской</w:t>
      </w:r>
      <w:r w:rsidRPr="00A96162">
        <w:rPr>
          <w:b/>
          <w:color w:val="FF0000"/>
          <w:lang w:val="ru-RU"/>
        </w:rPr>
        <w:t xml:space="preserve"> задолженности);</w:t>
      </w:r>
    </w:p>
    <w:p w14:paraId="7C7D57F5" w14:textId="383E5F2B" w:rsidR="002C658A" w:rsidRPr="00A96162" w:rsidRDefault="002C658A" w:rsidP="002C658A">
      <w:pPr>
        <w:pStyle w:val="a4"/>
        <w:numPr>
          <w:ilvl w:val="0"/>
          <w:numId w:val="1"/>
        </w:numPr>
        <w:rPr>
          <w:b/>
          <w:color w:val="ED7D31" w:themeColor="accent2"/>
          <w:lang w:val="ru-RU"/>
        </w:rPr>
      </w:pPr>
      <w:r w:rsidRPr="00A96162">
        <w:rPr>
          <w:b/>
          <w:color w:val="ED7D31" w:themeColor="accent2"/>
          <w:lang w:val="ru-RU"/>
        </w:rPr>
        <w:t xml:space="preserve">При заполнении таблицы в строке «Прочее» прописывается только сумма задолженностей по всем остальным </w:t>
      </w:r>
      <w:r w:rsidR="00146818">
        <w:rPr>
          <w:b/>
          <w:color w:val="ED7D31" w:themeColor="accent2"/>
          <w:lang w:val="ru-RU"/>
        </w:rPr>
        <w:t>кредиторам</w:t>
      </w:r>
      <w:r w:rsidRPr="00A96162">
        <w:rPr>
          <w:b/>
          <w:color w:val="ED7D31" w:themeColor="accent2"/>
          <w:lang w:val="ru-RU"/>
        </w:rPr>
        <w:t xml:space="preserve"> организации за исключением первых пяти заполненных пунктов.</w:t>
      </w:r>
    </w:p>
    <w:p w14:paraId="327FC097" w14:textId="77777777" w:rsidR="00D611C8" w:rsidRPr="00DF4376" w:rsidRDefault="00D611C8">
      <w:pPr>
        <w:rPr>
          <w:b/>
          <w:sz w:val="28"/>
          <w:szCs w:val="28"/>
          <w:lang w:val="ru-RU"/>
        </w:rPr>
      </w:pPr>
    </w:p>
    <w:p w14:paraId="6DD05C2D" w14:textId="77777777" w:rsidR="00F366D1" w:rsidRPr="00F27DA7" w:rsidRDefault="00F366D1">
      <w:pPr>
        <w:rPr>
          <w:color w:val="FF0000"/>
          <w:lang w:val="ru-RU"/>
        </w:rPr>
      </w:pPr>
    </w:p>
    <w:sectPr w:rsidR="00F366D1" w:rsidRPr="00F27DA7" w:rsidSect="003250A0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3313" w14:textId="77777777" w:rsidR="00EC46D2" w:rsidRDefault="00EC46D2" w:rsidP="00BA1D50">
      <w:pPr>
        <w:spacing w:after="0" w:line="240" w:lineRule="auto"/>
      </w:pPr>
      <w:r>
        <w:separator/>
      </w:r>
    </w:p>
  </w:endnote>
  <w:endnote w:type="continuationSeparator" w:id="0">
    <w:p w14:paraId="11ED0726" w14:textId="77777777" w:rsidR="00EC46D2" w:rsidRDefault="00EC46D2" w:rsidP="00B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4A31" w14:textId="77777777" w:rsidR="00EC46D2" w:rsidRDefault="00EC46D2" w:rsidP="00BA1D50">
      <w:pPr>
        <w:spacing w:after="0" w:line="240" w:lineRule="auto"/>
      </w:pPr>
      <w:r>
        <w:separator/>
      </w:r>
    </w:p>
  </w:footnote>
  <w:footnote w:type="continuationSeparator" w:id="0">
    <w:p w14:paraId="6F19D2F9" w14:textId="77777777" w:rsidR="00EC46D2" w:rsidRDefault="00EC46D2" w:rsidP="00BA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617A" w14:textId="77777777" w:rsidR="00A549EF" w:rsidRDefault="00A549EF" w:rsidP="00A549EF">
    <w:pPr>
      <w:pBdr>
        <w:bottom w:val="single" w:sz="12" w:space="1" w:color="auto"/>
      </w:pBdr>
      <w:jc w:val="center"/>
      <w:rPr>
        <w:b/>
        <w:sz w:val="40"/>
        <w:szCs w:val="40"/>
        <w:lang w:val="ru-RU"/>
      </w:rPr>
    </w:pPr>
    <w:r w:rsidRPr="00F366D1">
      <w:rPr>
        <w:b/>
        <w:sz w:val="40"/>
        <w:szCs w:val="40"/>
        <w:lang w:val="ru-RU"/>
      </w:rPr>
      <w:t xml:space="preserve">РАСШИФРОВКА ДЕБИТОРОВ </w:t>
    </w:r>
    <w:r>
      <w:rPr>
        <w:b/>
        <w:sz w:val="40"/>
        <w:szCs w:val="40"/>
        <w:lang w:val="ru-RU"/>
      </w:rPr>
      <w:t>И КРЕДИТОРОВ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F2DCE"/>
    <w:multiLevelType w:val="hybridMultilevel"/>
    <w:tmpl w:val="54C446EC"/>
    <w:lvl w:ilvl="0" w:tplc="9D3A2D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9D"/>
    <w:rsid w:val="00071CB4"/>
    <w:rsid w:val="000D4CDC"/>
    <w:rsid w:val="00146818"/>
    <w:rsid w:val="001A6B0D"/>
    <w:rsid w:val="00237DC9"/>
    <w:rsid w:val="002C658A"/>
    <w:rsid w:val="003250A0"/>
    <w:rsid w:val="008A7AC4"/>
    <w:rsid w:val="008B0A54"/>
    <w:rsid w:val="008C219D"/>
    <w:rsid w:val="00A501A9"/>
    <w:rsid w:val="00A549EF"/>
    <w:rsid w:val="00A96162"/>
    <w:rsid w:val="00BA1D50"/>
    <w:rsid w:val="00BB7921"/>
    <w:rsid w:val="00C647F5"/>
    <w:rsid w:val="00D128A5"/>
    <w:rsid w:val="00D44B51"/>
    <w:rsid w:val="00D611C8"/>
    <w:rsid w:val="00DF4376"/>
    <w:rsid w:val="00EA04B8"/>
    <w:rsid w:val="00EC46D2"/>
    <w:rsid w:val="00F15549"/>
    <w:rsid w:val="00F25008"/>
    <w:rsid w:val="00F27DA7"/>
    <w:rsid w:val="00F366D1"/>
    <w:rsid w:val="00F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C0B9"/>
  <w15:chartTrackingRefBased/>
  <w15:docId w15:val="{BFDC3406-D003-4F98-A2F7-F27138A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A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1D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D50"/>
  </w:style>
  <w:style w:type="paragraph" w:styleId="a7">
    <w:name w:val="footer"/>
    <w:basedOn w:val="a"/>
    <w:link w:val="a8"/>
    <w:uiPriority w:val="99"/>
    <w:unhideWhenUsed/>
    <w:rsid w:val="00BA1D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romeo1</dc:creator>
  <cp:keywords/>
  <dc:description/>
  <cp:lastModifiedBy>romeo1</cp:lastModifiedBy>
  <cp:revision>17</cp:revision>
  <dcterms:created xsi:type="dcterms:W3CDTF">2019-03-12T11:43:00Z</dcterms:created>
  <dcterms:modified xsi:type="dcterms:W3CDTF">2019-03-13T12:48:00Z</dcterms:modified>
</cp:coreProperties>
</file>